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XXXXX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56328B" w:rsidRPr="00C0707F" w:rsidRDefault="0056328B" w:rsidP="0056328B">
      <w:pPr>
        <w:widowControl w:val="0"/>
        <w:spacing w:after="0" w:line="240" w:lineRule="auto"/>
        <w:ind w:left="0" w:firstLine="0"/>
        <w:rPr>
          <w:b/>
          <w:color w:val="auto"/>
        </w:rPr>
      </w:pPr>
      <w:r>
        <w:rPr>
          <w:b/>
          <w:color w:val="auto"/>
        </w:rPr>
        <w:t xml:space="preserve">MEDICOM </w:t>
      </w:r>
      <w:proofErr w:type="spellStart"/>
      <w:r>
        <w:rPr>
          <w:b/>
          <w:color w:val="auto"/>
        </w:rPr>
        <w:t>d.o.o</w:t>
      </w:r>
      <w:proofErr w:type="spellEnd"/>
      <w:r>
        <w:rPr>
          <w:b/>
          <w:color w:val="auto"/>
        </w:rPr>
        <w:t>.</w:t>
      </w:r>
      <w:r w:rsidRPr="00C0707F">
        <w:rPr>
          <w:b/>
          <w:color w:val="auto"/>
        </w:rPr>
        <w:t xml:space="preserve">, </w:t>
      </w:r>
      <w:proofErr w:type="spellStart"/>
      <w:r w:rsidRPr="00C0707F">
        <w:rPr>
          <w:b/>
          <w:color w:val="auto"/>
        </w:rPr>
        <w:t>ул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Поцерска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бр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3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Шабац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кога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заступа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директор</w:t>
      </w:r>
      <w:proofErr w:type="spellEnd"/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Предраг Василић</w:t>
      </w:r>
      <w:r w:rsidRPr="00C0707F">
        <w:rPr>
          <w:b/>
          <w:color w:val="auto"/>
        </w:rPr>
        <w:t>,</w:t>
      </w:r>
    </w:p>
    <w:p w:rsidR="0056328B" w:rsidRPr="000725D3" w:rsidRDefault="0056328B" w:rsidP="0056328B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07595166</w:t>
      </w:r>
    </w:p>
    <w:p w:rsidR="0056328B" w:rsidRPr="000725D3" w:rsidRDefault="0056328B" w:rsidP="0056328B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100126308</w:t>
      </w:r>
    </w:p>
    <w:p w:rsidR="0056328B" w:rsidRPr="00C0707F" w:rsidRDefault="0056328B" w:rsidP="0056328B">
      <w:pPr>
        <w:widowControl w:val="0"/>
        <w:spacing w:after="0" w:line="240" w:lineRule="auto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265-1100310001264-40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>
        <w:rPr>
          <w:color w:val="auto"/>
        </w:rPr>
        <w:t>Raiffeisen</w:t>
      </w:r>
      <w:proofErr w:type="spellEnd"/>
      <w:r>
        <w:rPr>
          <w:color w:val="auto"/>
        </w:rPr>
        <w:t xml:space="preserve"> bank</w:t>
      </w:r>
    </w:p>
    <w:p w:rsidR="001B1B38" w:rsidRPr="00C0707F" w:rsidRDefault="0056328B" w:rsidP="0056328B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</w:t>
      </w:r>
      <w:proofErr w:type="gramStart"/>
      <w:r w:rsidRPr="00C0707F">
        <w:rPr>
          <w:color w:val="auto"/>
        </w:rPr>
        <w:t>у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даљем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тексту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>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56328B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56328B">
        <w:rPr>
          <w:rFonts w:eastAsia="Times New Roman"/>
          <w:color w:val="auto"/>
          <w:szCs w:val="20"/>
        </w:rPr>
        <w:t xml:space="preserve">394, 395, 396, 397, 398, 399, 400 </w:t>
      </w:r>
      <w:r w:rsidR="0056328B">
        <w:rPr>
          <w:rFonts w:eastAsia="Times New Roman"/>
          <w:color w:val="auto"/>
          <w:szCs w:val="20"/>
          <w:lang w:val="sr-Cyrl-RS"/>
        </w:rPr>
        <w:t>и 401</w:t>
      </w:r>
      <w:r w:rsidRPr="00C0707F">
        <w:rPr>
          <w:color w:val="auto"/>
          <w:lang w:val="sr-Cyrl-RS"/>
        </w:rPr>
        <w:t xml:space="preserve">, 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proofErr w:type="spellStart"/>
      <w:r w:rsidR="0056328B">
        <w:rPr>
          <w:color w:val="auto"/>
        </w:rPr>
        <w:t>Medicom</w:t>
      </w:r>
      <w:proofErr w:type="spellEnd"/>
      <w:r w:rsidR="0056328B">
        <w:rPr>
          <w:color w:val="auto"/>
        </w:rPr>
        <w:t xml:space="preserve"> </w:t>
      </w:r>
      <w:proofErr w:type="spellStart"/>
      <w:r w:rsidR="0056328B">
        <w:rPr>
          <w:color w:val="auto"/>
        </w:rPr>
        <w:t>d.o.o</w:t>
      </w:r>
      <w:proofErr w:type="spellEnd"/>
      <w:r w:rsidR="0056328B">
        <w:rPr>
          <w:color w:val="auto"/>
        </w:rPr>
        <w:t>.,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</w:t>
      </w:r>
      <w:r>
        <w:rPr>
          <w:color w:val="auto"/>
        </w:rPr>
        <w:t>уке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</w:t>
      </w:r>
      <w:proofErr w:type="spellEnd"/>
      <w:r>
        <w:rPr>
          <w:color w:val="auto"/>
        </w:rPr>
        <w:t xml:space="preserve">. </w:t>
      </w:r>
      <w:r w:rsidR="0056328B">
        <w:rPr>
          <w:rFonts w:eastAsia="Times New Roman"/>
          <w:color w:val="auto"/>
          <w:szCs w:val="20"/>
        </w:rPr>
        <w:t>404-1-93/19-60</w:t>
      </w:r>
      <w:r w:rsidR="0056328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56328B" w:rsidRPr="00C0707F">
        <w:rPr>
          <w:rFonts w:eastAsia="Times New Roman"/>
          <w:color w:val="auto"/>
          <w:szCs w:val="20"/>
        </w:rPr>
        <w:t>од</w:t>
      </w:r>
      <w:proofErr w:type="spellEnd"/>
      <w:r w:rsidR="0056328B" w:rsidRPr="00C0707F">
        <w:rPr>
          <w:rFonts w:eastAsia="Times New Roman"/>
          <w:color w:val="auto"/>
          <w:szCs w:val="20"/>
        </w:rPr>
        <w:t xml:space="preserve"> </w:t>
      </w:r>
      <w:r w:rsidR="0056328B">
        <w:rPr>
          <w:rFonts w:eastAsia="Times New Roman"/>
          <w:color w:val="auto"/>
          <w:szCs w:val="20"/>
        </w:rPr>
        <w:t>10.03.</w:t>
      </w:r>
      <w:r w:rsidR="0056328B" w:rsidRPr="00C0707F">
        <w:rPr>
          <w:rFonts w:eastAsia="Times New Roman"/>
          <w:color w:val="auto"/>
          <w:szCs w:val="20"/>
        </w:rPr>
        <w:t>20</w:t>
      </w:r>
      <w:r w:rsidR="0056328B">
        <w:rPr>
          <w:rFonts w:eastAsia="Times New Roman"/>
          <w:color w:val="auto"/>
          <w:szCs w:val="20"/>
          <w:lang w:val="sr-Cyrl-RS"/>
        </w:rPr>
        <w:t>20</w:t>
      </w:r>
      <w:r w:rsidR="0056328B">
        <w:rPr>
          <w:rFonts w:eastAsia="Times New Roman"/>
          <w:color w:val="auto"/>
          <w:szCs w:val="20"/>
        </w:rPr>
        <w:t xml:space="preserve">. </w:t>
      </w:r>
      <w:proofErr w:type="spellStart"/>
      <w:r w:rsidR="0056328B">
        <w:rPr>
          <w:rFonts w:eastAsia="Times New Roman"/>
          <w:color w:val="auto"/>
          <w:szCs w:val="20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6F5D0F">
        <w:rPr>
          <w:color w:val="auto"/>
        </w:rPr>
        <w:t>23-12/20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C77490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1.2</w:t>
      </w:r>
      <w:proofErr w:type="gramStart"/>
      <w:r>
        <w:rPr>
          <w:color w:val="auto"/>
        </w:rPr>
        <w:t xml:space="preserve">.  </w:t>
      </w:r>
      <w:proofErr w:type="spellStart"/>
      <w:r w:rsidRPr="00C0707F">
        <w:rPr>
          <w:color w:val="auto"/>
        </w:rPr>
        <w:t>На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6F5D0F">
        <w:rPr>
          <w:color w:val="auto"/>
        </w:rPr>
        <w:t>23-12/20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C77490">
        <w:rPr>
          <w:color w:val="auto"/>
        </w:rPr>
        <w:t>25.03</w:t>
      </w:r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плаћа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увећан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ПДВ-а,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пријема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фактуре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</w:t>
      </w:r>
      <w:bookmarkStart w:id="0" w:name="_GoBack"/>
      <w:bookmarkEnd w:id="0"/>
      <w:r w:rsidRPr="00C0707F">
        <w:rPr>
          <w:color w:val="auto"/>
          <w:lang w:val="sr-Cyrl-CS"/>
        </w:rPr>
        <w:t xml:space="preserve">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9702CE">
        <w:rPr>
          <w:color w:val="auto"/>
        </w:rPr>
        <w:t xml:space="preserve">3 </w:t>
      </w:r>
      <w:r w:rsidR="009702CE">
        <w:rPr>
          <w:color w:val="auto"/>
          <w:lang w:val="sr-Cyrl-RS"/>
        </w:rPr>
        <w:t>дана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Pr="00C0707F">
        <w:rPr>
          <w:color w:val="auto"/>
        </w:rPr>
        <w:t>Место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____________ </w:t>
      </w:r>
      <w:r w:rsidRPr="00C0707F">
        <w:rPr>
          <w:i/>
          <w:color w:val="auto"/>
        </w:rPr>
        <w:t>(</w:t>
      </w:r>
      <w:proofErr w:type="spellStart"/>
      <w:r w:rsidRPr="00C0707F">
        <w:rPr>
          <w:i/>
          <w:color w:val="auto"/>
        </w:rPr>
        <w:t>унети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место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испоруке</w:t>
      </w:r>
      <w:proofErr w:type="spellEnd"/>
      <w:r w:rsidRPr="00C0707F">
        <w:rPr>
          <w:i/>
          <w:color w:val="auto"/>
        </w:rPr>
        <w:t>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прекорачења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дужан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уговорну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казну</w:t>
      </w:r>
      <w:proofErr w:type="spellEnd"/>
      <w:r w:rsidRPr="00874338">
        <w:rPr>
          <w:color w:val="auto"/>
        </w:rPr>
        <w:t xml:space="preserve"> у </w:t>
      </w:r>
      <w:proofErr w:type="spellStart"/>
      <w:r w:rsidRPr="00874338">
        <w:rPr>
          <w:color w:val="auto"/>
        </w:rPr>
        <w:t>износу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0,5%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укупне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вредности</w:t>
      </w:r>
      <w:proofErr w:type="spellEnd"/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ко</w:t>
      </w:r>
      <w:proofErr w:type="spellEnd"/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је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прекорачио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рок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испоруке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сваки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дан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закашњења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али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више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Pr="00C0707F">
        <w:rPr>
          <w:color w:val="auto"/>
        </w:rPr>
        <w:t>Ако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пређе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казне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тражи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накнаду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штете</w:t>
      </w:r>
      <w:proofErr w:type="spellEnd"/>
      <w:r w:rsidRPr="00C0707F">
        <w:rPr>
          <w:color w:val="auto"/>
        </w:rPr>
        <w:t xml:space="preserve">, а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6.1</w:t>
      </w:r>
      <w:proofErr w:type="gramStart"/>
      <w:r>
        <w:rPr>
          <w:color w:val="auto"/>
        </w:rPr>
        <w:t xml:space="preserve">.  </w:t>
      </w:r>
      <w:proofErr w:type="spellStart"/>
      <w:r w:rsidRPr="00C0707F">
        <w:rPr>
          <w:color w:val="auto"/>
        </w:rPr>
        <w:t>Наступање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lastRenderedPageBreak/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proofErr w:type="gramStart"/>
      <w:r w:rsidRPr="005A49CA">
        <w:rPr>
          <w:color w:val="auto"/>
        </w:rPr>
        <w:t>овог</w:t>
      </w:r>
      <w:proofErr w:type="spellEnd"/>
      <w:proofErr w:type="gram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КВИ,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proofErr w:type="gramStart"/>
      <w:r w:rsidRPr="00C0707F">
        <w:rPr>
          <w:color w:val="auto"/>
        </w:rPr>
        <w:t>став</w:t>
      </w:r>
      <w:proofErr w:type="spellEnd"/>
      <w:proofErr w:type="gram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Назив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име</w:t>
            </w:r>
            <w:proofErr w:type="spellEnd"/>
            <w:r w:rsidRPr="00E51453">
              <w:rPr>
                <w:b/>
              </w:rPr>
              <w:t xml:space="preserve"> и </w:t>
            </w:r>
            <w:proofErr w:type="spellStart"/>
            <w:r w:rsidRPr="00E51453">
              <w:rPr>
                <w:b/>
              </w:rPr>
              <w:t>презиме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директора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A0" w:rsidRDefault="000A2EA0" w:rsidP="00D17862">
      <w:pPr>
        <w:spacing w:after="0" w:line="240" w:lineRule="auto"/>
      </w:pPr>
      <w:r>
        <w:separator/>
      </w:r>
    </w:p>
  </w:endnote>
  <w:endnote w:type="continuationSeparator" w:id="0">
    <w:p w:rsidR="000A2EA0" w:rsidRDefault="000A2EA0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4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A0" w:rsidRDefault="000A2EA0" w:rsidP="00D17862">
      <w:pPr>
        <w:spacing w:after="0" w:line="240" w:lineRule="auto"/>
      </w:pPr>
      <w:r>
        <w:separator/>
      </w:r>
    </w:p>
  </w:footnote>
  <w:footnote w:type="continuationSeparator" w:id="0">
    <w:p w:rsidR="000A2EA0" w:rsidRDefault="000A2EA0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0A2EA0"/>
    <w:rsid w:val="001B1B38"/>
    <w:rsid w:val="001D2B50"/>
    <w:rsid w:val="003560E5"/>
    <w:rsid w:val="003718AB"/>
    <w:rsid w:val="003E345D"/>
    <w:rsid w:val="0047177D"/>
    <w:rsid w:val="004D0613"/>
    <w:rsid w:val="0056328B"/>
    <w:rsid w:val="0060456C"/>
    <w:rsid w:val="006F5D0F"/>
    <w:rsid w:val="00874338"/>
    <w:rsid w:val="009702CE"/>
    <w:rsid w:val="00AC3104"/>
    <w:rsid w:val="00C77490"/>
    <w:rsid w:val="00D17862"/>
    <w:rsid w:val="00DC60BD"/>
    <w:rsid w:val="00DF5C0A"/>
    <w:rsid w:val="00E74614"/>
    <w:rsid w:val="00E81A1C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14</cp:revision>
  <dcterms:created xsi:type="dcterms:W3CDTF">2020-03-11T08:35:00Z</dcterms:created>
  <dcterms:modified xsi:type="dcterms:W3CDTF">2020-03-24T22:24:00Z</dcterms:modified>
</cp:coreProperties>
</file>