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86" w:rsidRDefault="00DC7386" w:rsidP="00F20606">
      <w:pPr>
        <w:widowControl w:val="0"/>
        <w:spacing w:after="120" w:line="240" w:lineRule="auto"/>
        <w:jc w:val="both"/>
        <w:rPr>
          <w:rFonts w:ascii="Arial" w:eastAsia="Times New Roman" w:hAnsi="Arial" w:cs="Arial"/>
          <w:b/>
          <w:i/>
          <w:color w:val="A6A6A6" w:themeColor="background1" w:themeShade="A6"/>
          <w:lang w:val="sr-Cyrl-RS" w:eastAsia="x-none"/>
        </w:rPr>
      </w:pPr>
    </w:p>
    <w:p w:rsidR="009B6E4D" w:rsidRDefault="009B6E4D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9B6E4D" w:rsidRDefault="009B6E4D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9B6E4D" w:rsidRDefault="009B6E4D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767695" w:rsidRPr="00694BBC" w:rsidRDefault="00767695" w:rsidP="00767695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</w:rPr>
      </w:pPr>
      <w:r w:rsidRPr="00694BBC">
        <w:rPr>
          <w:rFonts w:ascii="Arial" w:eastAsia="Arial" w:hAnsi="Arial" w:cs="Arial"/>
          <w:b/>
          <w:color w:val="000000"/>
          <w:sz w:val="20"/>
        </w:rPr>
        <w:t xml:space="preserve">Phoenix Pharma d.o.o. Beograd, </w:t>
      </w:r>
      <w:proofErr w:type="spellStart"/>
      <w:r w:rsidRPr="00694BBC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694BBC">
        <w:rPr>
          <w:rFonts w:ascii="Arial" w:eastAsia="Arial" w:hAnsi="Arial" w:cs="Arial"/>
          <w:b/>
          <w:color w:val="000000"/>
          <w:sz w:val="20"/>
        </w:rPr>
        <w:t xml:space="preserve">. </w:t>
      </w:r>
      <w:proofErr w:type="spellStart"/>
      <w:r w:rsidRPr="00694BBC">
        <w:rPr>
          <w:rFonts w:ascii="Arial" w:eastAsia="Arial" w:hAnsi="Arial" w:cs="Arial"/>
          <w:b/>
          <w:color w:val="000000"/>
          <w:sz w:val="20"/>
        </w:rPr>
        <w:t>Боре</w:t>
      </w:r>
      <w:proofErr w:type="spellEnd"/>
      <w:r w:rsidRPr="00694BBC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694BBC">
        <w:rPr>
          <w:rFonts w:ascii="Arial" w:eastAsia="Arial" w:hAnsi="Arial" w:cs="Arial"/>
          <w:b/>
          <w:color w:val="000000"/>
          <w:sz w:val="20"/>
        </w:rPr>
        <w:t>Станковића</w:t>
      </w:r>
      <w:proofErr w:type="spellEnd"/>
      <w:r w:rsidRPr="00694BBC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694BBC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694BBC">
        <w:rPr>
          <w:rFonts w:ascii="Arial" w:eastAsia="Arial" w:hAnsi="Arial" w:cs="Arial"/>
          <w:b/>
          <w:color w:val="000000"/>
          <w:sz w:val="20"/>
        </w:rPr>
        <w:t xml:space="preserve">. 2, </w:t>
      </w:r>
      <w:proofErr w:type="spellStart"/>
      <w:r w:rsidRPr="00694BBC">
        <w:rPr>
          <w:rFonts w:ascii="Arial" w:eastAsia="Arial" w:hAnsi="Arial" w:cs="Arial"/>
          <w:b/>
          <w:color w:val="000000"/>
          <w:sz w:val="20"/>
        </w:rPr>
        <w:t>из</w:t>
      </w:r>
      <w:proofErr w:type="spellEnd"/>
      <w:r w:rsidRPr="00694BBC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694BBC">
        <w:rPr>
          <w:rFonts w:ascii="Arial" w:eastAsia="Arial" w:hAnsi="Arial" w:cs="Arial"/>
          <w:b/>
          <w:color w:val="000000"/>
          <w:sz w:val="20"/>
        </w:rPr>
        <w:t>Београда</w:t>
      </w:r>
      <w:proofErr w:type="spellEnd"/>
      <w:r w:rsidRPr="00694BBC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694BBC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694BBC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694BBC">
        <w:rPr>
          <w:rFonts w:ascii="Arial" w:eastAsia="Arial" w:hAnsi="Arial" w:cs="Arial"/>
          <w:b/>
          <w:color w:val="000000"/>
          <w:sz w:val="20"/>
        </w:rPr>
        <w:t>заступају</w:t>
      </w:r>
      <w:proofErr w:type="spellEnd"/>
      <w:r w:rsidRPr="00694BBC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694BBC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694BBC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694BBC">
        <w:rPr>
          <w:rFonts w:ascii="Arial" w:eastAsia="Arial" w:hAnsi="Arial" w:cs="Arial"/>
          <w:b/>
          <w:color w:val="000000"/>
          <w:sz w:val="20"/>
        </w:rPr>
        <w:t>Иван</w:t>
      </w:r>
      <w:proofErr w:type="spellEnd"/>
      <w:r w:rsidRPr="00694BBC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694BBC">
        <w:rPr>
          <w:rFonts w:ascii="Arial" w:eastAsia="Arial" w:hAnsi="Arial" w:cs="Arial"/>
          <w:b/>
          <w:color w:val="000000"/>
          <w:sz w:val="20"/>
        </w:rPr>
        <w:t>Банковић</w:t>
      </w:r>
      <w:proofErr w:type="spellEnd"/>
      <w:r w:rsidRPr="00694BBC">
        <w:rPr>
          <w:rFonts w:ascii="Arial" w:eastAsia="Arial" w:hAnsi="Arial" w:cs="Arial"/>
          <w:b/>
          <w:color w:val="000000"/>
          <w:sz w:val="20"/>
        </w:rPr>
        <w:t xml:space="preserve"> и </w:t>
      </w:r>
      <w:proofErr w:type="spellStart"/>
      <w:r w:rsidRPr="00694BBC">
        <w:rPr>
          <w:rFonts w:ascii="Arial" w:eastAsia="Arial" w:hAnsi="Arial" w:cs="Arial"/>
          <w:b/>
          <w:color w:val="000000"/>
          <w:sz w:val="20"/>
        </w:rPr>
        <w:t>заступник</w:t>
      </w:r>
      <w:proofErr w:type="spellEnd"/>
      <w:r w:rsidRPr="00694BBC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694BBC">
        <w:rPr>
          <w:rFonts w:ascii="Arial" w:eastAsia="Arial" w:hAnsi="Arial" w:cs="Arial"/>
          <w:b/>
          <w:color w:val="000000"/>
          <w:sz w:val="20"/>
        </w:rPr>
        <w:t>Драган</w:t>
      </w:r>
      <w:proofErr w:type="spellEnd"/>
      <w:r w:rsidRPr="00694BBC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694BBC">
        <w:rPr>
          <w:rFonts w:ascii="Arial" w:eastAsia="Arial" w:hAnsi="Arial" w:cs="Arial"/>
          <w:b/>
          <w:color w:val="000000"/>
          <w:sz w:val="20"/>
        </w:rPr>
        <w:t>Јовановић</w:t>
      </w:r>
      <w:proofErr w:type="spellEnd"/>
    </w:p>
    <w:p w:rsidR="00767695" w:rsidRPr="000A65F6" w:rsidRDefault="00767695" w:rsidP="00767695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0A65F6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0A65F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0A65F6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0A65F6">
        <w:rPr>
          <w:rFonts w:ascii="Arial" w:eastAsia="Arial" w:hAnsi="Arial" w:cs="Arial"/>
          <w:color w:val="000000"/>
          <w:sz w:val="20"/>
        </w:rPr>
        <w:t>: 07517807</w:t>
      </w:r>
    </w:p>
    <w:p w:rsidR="00767695" w:rsidRPr="000A65F6" w:rsidRDefault="00767695" w:rsidP="00767695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0A65F6">
        <w:rPr>
          <w:rFonts w:ascii="Arial" w:eastAsia="Arial" w:hAnsi="Arial" w:cs="Arial"/>
          <w:color w:val="000000"/>
          <w:sz w:val="20"/>
        </w:rPr>
        <w:t>ПИБ: 100000266</w:t>
      </w:r>
    </w:p>
    <w:p w:rsidR="00767695" w:rsidRPr="00E47910" w:rsidRDefault="00767695" w:rsidP="00767695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E47910">
        <w:rPr>
          <w:rFonts w:ascii="Arial" w:eastAsia="Calibri" w:hAnsi="Arial" w:cs="Times New Roman"/>
          <w:sz w:val="20"/>
        </w:rPr>
        <w:t>даљем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тексту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E47910">
        <w:rPr>
          <w:rFonts w:ascii="Arial" w:eastAsia="Calibri" w:hAnsi="Arial" w:cs="Times New Roman"/>
          <w:sz w:val="20"/>
        </w:rPr>
        <w:t>Добављач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) </w:t>
      </w:r>
    </w:p>
    <w:p w:rsidR="00CD079C" w:rsidRDefault="00CD079C" w:rsidP="00CD079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</w:p>
    <w:p w:rsidR="00CD079C" w:rsidRPr="00E47910" w:rsidRDefault="00CD079C" w:rsidP="00CD079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B232A3" w:rsidRPr="00B232A3">
        <w:rPr>
          <w:rFonts w:ascii="Arial" w:eastAsia="Calibri" w:hAnsi="Arial" w:cs="Times New Roman"/>
          <w:b/>
          <w:sz w:val="20"/>
          <w:szCs w:val="20"/>
          <w:lang w:val="sr-Cyrl-RS"/>
        </w:rPr>
        <w:t>ЛЕКОВИ СА ЛИСТЕ A И ЛИСТЕ A1 ЛИСТЕ ЛЕКОВА – ПОНОВЉЕНИ ПОСТУПАК</w:t>
      </w:r>
    </w:p>
    <w:p w:rsidR="0026548B" w:rsidRPr="0026548B" w:rsidRDefault="0026548B" w:rsidP="0026548B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B232A3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Latn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B232A3">
        <w:rPr>
          <w:rFonts w:ascii="Arial" w:eastAsia="Calibri" w:hAnsi="Arial" w:cs="Arial"/>
          <w:b/>
          <w:sz w:val="20"/>
          <w:szCs w:val="20"/>
          <w:lang w:val="sr-Latn-RS"/>
        </w:rPr>
        <w:t>404-1-110/24-77</w:t>
      </w:r>
    </w:p>
    <w:p w:rsidR="00DA1C4C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CS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>ЗА ПАРТИЈУ/Е _________</w:t>
      </w:r>
    </w:p>
    <w:p w:rsidR="0026548B" w:rsidRPr="00904941" w:rsidRDefault="0026548B" w:rsidP="0026548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A1C4C" w:rsidRPr="00904941" w:rsidRDefault="00DA1C4C" w:rsidP="002716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271660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B232A3" w:rsidRPr="00B232A3">
        <w:rPr>
          <w:rFonts w:ascii="Arial" w:hAnsi="Arial" w:cs="Arial"/>
          <w:sz w:val="20"/>
          <w:szCs w:val="20"/>
          <w:lang w:val="sr-Cyrl-RS"/>
        </w:rPr>
        <w:t>Лекови са Листе A и Листе A1 Листе лекова – поновљени поступак, бр. 404-1-110/24-77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Pr="00541256">
        <w:rPr>
          <w:rFonts w:ascii="Arial" w:hAnsi="Arial" w:cs="Arial"/>
          <w:sz w:val="20"/>
          <w:szCs w:val="20"/>
        </w:rPr>
        <w:t xml:space="preserve"> </w:t>
      </w:r>
      <w:r w:rsidR="00CE2770" w:rsidRPr="00CE2770">
        <w:rPr>
          <w:rFonts w:ascii="Arial" w:hAnsi="Arial" w:cs="Arial"/>
          <w:sz w:val="20"/>
          <w:szCs w:val="20"/>
        </w:rPr>
        <w:t>Phoenix</w:t>
      </w:r>
      <w:proofErr w:type="gramEnd"/>
      <w:r w:rsidR="00CE2770" w:rsidRPr="00CE2770">
        <w:rPr>
          <w:rFonts w:ascii="Arial" w:hAnsi="Arial" w:cs="Arial"/>
          <w:sz w:val="20"/>
          <w:szCs w:val="20"/>
        </w:rPr>
        <w:t xml:space="preserve"> Pharma d.o.o. Beograd </w:t>
      </w:r>
      <w:bookmarkStart w:id="0" w:name="_GoBack"/>
      <w:bookmarkEnd w:id="0"/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9B6E4D" w:rsidRPr="009B6E4D">
        <w:rPr>
          <w:rFonts w:ascii="Arial" w:hAnsi="Arial" w:cs="Arial"/>
          <w:sz w:val="20"/>
          <w:szCs w:val="20"/>
        </w:rPr>
        <w:t>404.01-75/24-17</w:t>
      </w:r>
      <w:r w:rsidR="003503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E4D" w:rsidRPr="009B6E4D">
        <w:rPr>
          <w:rFonts w:ascii="Arial" w:hAnsi="Arial" w:cs="Arial"/>
          <w:sz w:val="20"/>
          <w:szCs w:val="20"/>
        </w:rPr>
        <w:t>од</w:t>
      </w:r>
      <w:proofErr w:type="spellEnd"/>
      <w:r w:rsidR="009B6E4D" w:rsidRPr="009B6E4D">
        <w:rPr>
          <w:rFonts w:ascii="Arial" w:hAnsi="Arial" w:cs="Arial"/>
          <w:sz w:val="20"/>
          <w:szCs w:val="20"/>
        </w:rPr>
        <w:t xml:space="preserve"> 14.08.2024. </w:t>
      </w:r>
      <w:proofErr w:type="spellStart"/>
      <w:r w:rsidR="009B6E4D" w:rsidRPr="009B6E4D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9B6E4D">
        <w:rPr>
          <w:rFonts w:ascii="Arial" w:hAnsi="Arial" w:cs="Arial"/>
          <w:sz w:val="20"/>
          <w:szCs w:val="20"/>
        </w:rPr>
        <w:t>87-</w:t>
      </w:r>
      <w:r w:rsidR="00767695">
        <w:rPr>
          <w:rFonts w:ascii="Arial" w:hAnsi="Arial" w:cs="Arial"/>
          <w:sz w:val="20"/>
          <w:szCs w:val="20"/>
        </w:rPr>
        <w:t>6</w:t>
      </w:r>
      <w:r w:rsidR="009B6E4D">
        <w:rPr>
          <w:rFonts w:ascii="Arial" w:hAnsi="Arial" w:cs="Arial"/>
          <w:sz w:val="20"/>
          <w:szCs w:val="20"/>
        </w:rPr>
        <w:t>/24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9B6E4D">
        <w:rPr>
          <w:rFonts w:ascii="Arial" w:hAnsi="Arial" w:cs="Arial"/>
          <w:sz w:val="20"/>
          <w:szCs w:val="20"/>
        </w:rPr>
        <w:t>27.08.2024</w:t>
      </w:r>
      <w:r w:rsidRPr="005412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271660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27166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271660" w:rsidRPr="002E57F9">
        <w:rPr>
          <w:rFonts w:ascii="Arial" w:eastAsia="Times New Roman" w:hAnsi="Arial" w:cs="Arial"/>
          <w:noProof/>
          <w:sz w:val="20"/>
          <w:szCs w:val="20"/>
          <w:lang w:val="sr-Cyrl-RS"/>
        </w:rPr>
        <w:t>Уговор важи до __.__.____.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541256" w:rsidRPr="00541256" w:rsidRDefault="00541256" w:rsidP="0064556D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 xml:space="preserve">наведене у </w:t>
      </w:r>
      <w:r w:rsidR="0064556D" w:rsidRPr="0064556D">
        <w:rPr>
          <w:rFonts w:ascii="Arial" w:eastAsia="Times New Roman" w:hAnsi="Arial" w:cs="Arial"/>
          <w:sz w:val="20"/>
          <w:szCs w:val="20"/>
          <w:lang w:val="sr-Cyrl-RS"/>
        </w:rPr>
        <w:t>Спецификацији лекова са ценама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 w:rsidRPr="00541256">
        <w:rPr>
          <w:rFonts w:ascii="Arial" w:eastAsia="Times New Roman" w:hAnsi="Arial" w:cs="Arial"/>
          <w:sz w:val="20"/>
          <w:szCs w:val="20"/>
          <w:lang w:val="sr-Cyrl-RS"/>
        </w:rPr>
        <w:t>(Прилог 1)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Републичком фонду за здравствено осигурање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022AF0">
        <w:rPr>
          <w:rFonts w:ascii="Arial" w:eastAsia="Times New Roman" w:hAnsi="Arial" w:cs="Arial"/>
          <w:sz w:val="20"/>
          <w:szCs w:val="20"/>
        </w:rPr>
        <w:t xml:space="preserve">1 </w:t>
      </w:r>
      <w:proofErr w:type="spellStart"/>
      <w:r w:rsidR="00022AF0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="00022AF0" w:rsidRPr="00F42BA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22AF0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022AF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22AF0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="00022AF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22AF0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="00022AF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22AF0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="00022AF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22AF0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магацин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ца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осим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објективних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>,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одреди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локацију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.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4477A1" w:rsidRPr="00C7393D" w:rsidRDefault="00C7393D" w:rsidP="0064556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Купац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541256" w:rsidRPr="00541256" w:rsidRDefault="004471B9" w:rsidP="0064556D">
      <w:pPr>
        <w:widowControl w:val="0"/>
        <w:autoSpaceDE w:val="0"/>
        <w:autoSpaceDN w:val="0"/>
        <w:adjustRightInd w:val="0"/>
        <w:spacing w:before="120"/>
        <w:ind w:firstLine="18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64556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lastRenderedPageBreak/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64556D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6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.  СПОРОВИ</w:t>
      </w:r>
    </w:p>
    <w:p w:rsidR="00541256" w:rsidRPr="00541256" w:rsidRDefault="0064556D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</w:rPr>
        <w:t>6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  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>.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64556D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7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.  </w:t>
      </w:r>
      <w:r w:rsidR="00541256"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64556D" w:rsidRDefault="00541256" w:rsidP="0064556D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могуће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складу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чланом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r w:rsidRPr="0064556D">
        <w:rPr>
          <w:rFonts w:ascii="Arial" w:hAnsi="Arial" w:cs="Arial"/>
          <w:sz w:val="20"/>
          <w:szCs w:val="20"/>
          <w:lang w:val="sr-Cyrl-RS"/>
        </w:rPr>
        <w:t>15</w:t>
      </w:r>
      <w:r w:rsidR="00C7393D" w:rsidRPr="0064556D">
        <w:rPr>
          <w:rFonts w:ascii="Arial" w:hAnsi="Arial" w:cs="Arial"/>
          <w:sz w:val="20"/>
          <w:szCs w:val="20"/>
          <w:lang w:val="sr-Cyrl-RS"/>
        </w:rPr>
        <w:t>6</w:t>
      </w:r>
      <w:r w:rsidRPr="0064556D">
        <w:rPr>
          <w:rFonts w:ascii="Arial" w:hAnsi="Arial" w:cs="Arial"/>
          <w:sz w:val="20"/>
          <w:szCs w:val="20"/>
        </w:rPr>
        <w:t>.</w:t>
      </w:r>
      <w:r w:rsidRPr="0064556D">
        <w:rPr>
          <w:rFonts w:ascii="Arial" w:hAnsi="Arial" w:cs="Arial"/>
          <w:sz w:val="20"/>
          <w:szCs w:val="20"/>
          <w:lang w:val="sr-Cyrl-RS"/>
        </w:rPr>
        <w:t>-161.</w:t>
      </w:r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Закона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64556D">
        <w:rPr>
          <w:rFonts w:ascii="Arial" w:hAnsi="Arial" w:cs="Arial"/>
          <w:sz w:val="20"/>
          <w:szCs w:val="20"/>
        </w:rPr>
        <w:t>јавним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набавкама</w:t>
      </w:r>
      <w:proofErr w:type="spellEnd"/>
      <w:r w:rsidRPr="0064556D">
        <w:rPr>
          <w:rFonts w:ascii="Arial" w:hAnsi="Arial" w:cs="Arial"/>
          <w:sz w:val="20"/>
          <w:szCs w:val="20"/>
        </w:rPr>
        <w:t>.</w:t>
      </w:r>
    </w:p>
    <w:p w:rsidR="00541256" w:rsidRPr="0064556D" w:rsidRDefault="00541256" w:rsidP="000D125D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Купац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Добављач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сагласни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да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вршити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писменој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форми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64556D">
        <w:rPr>
          <w:rFonts w:ascii="Arial" w:hAnsi="Arial" w:cs="Arial"/>
          <w:sz w:val="20"/>
          <w:szCs w:val="20"/>
        </w:rPr>
        <w:t>чему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сачинити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Анекс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</w:p>
    <w:p w:rsidR="00541256" w:rsidRPr="000D125D" w:rsidRDefault="00541256" w:rsidP="00CF43F7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0D125D">
        <w:rPr>
          <w:rFonts w:ascii="Arial" w:eastAsia="Times New Roman" w:hAnsi="Arial" w:cs="Arial"/>
          <w:sz w:val="20"/>
          <w:szCs w:val="20"/>
        </w:rPr>
        <w:t>.</w:t>
      </w:r>
      <w:r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0D125D" w:rsidP="000D125D">
      <w:pPr>
        <w:widowControl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8.3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r w:rsidR="004471B9" w:rsidRPr="000D125D"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0D125D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истека периода из тачке 2.2 овог Уговора или д</w:t>
      </w:r>
      <w:r w:rsidR="000D125D">
        <w:rPr>
          <w:rFonts w:ascii="Arial" w:eastAsia="Times New Roman" w:hAnsi="Arial" w:cs="Arial"/>
          <w:sz w:val="20"/>
          <w:szCs w:val="20"/>
          <w:lang w:val="sr-Cyrl-RS"/>
        </w:rPr>
        <w:t>о утрошка вредности из тачке 3.9</w:t>
      </w:r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овог уговора, у зависности шта пре наступи.</w:t>
      </w:r>
    </w:p>
    <w:p w:rsidR="00541256" w:rsidRPr="00541256" w:rsidRDefault="00541256" w:rsidP="00530017">
      <w:pPr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у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4</w:t>
      </w:r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(четири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="00DA753D">
        <w:rPr>
          <w:rFonts w:ascii="Arial" w:eastAsia="Times New Roman" w:hAnsi="Arial" w:cs="Arial"/>
          <w:sz w:val="20"/>
          <w:szCs w:val="20"/>
        </w:rPr>
        <w:t xml:space="preserve"> (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два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350399" w:rsidRDefault="00350399" w:rsidP="00350399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350399" w:rsidRPr="00164F1B" w:rsidTr="00DD332A">
        <w:trPr>
          <w:trHeight w:val="199"/>
          <w:jc w:val="center"/>
        </w:trPr>
        <w:tc>
          <w:tcPr>
            <w:tcW w:w="4390" w:type="dxa"/>
            <w:vAlign w:val="center"/>
          </w:tcPr>
          <w:p w:rsidR="00350399" w:rsidRDefault="00350399" w:rsidP="00DD332A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bookmarkStart w:id="1" w:name="_Hlk137638515"/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>K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УПАЦ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>:</w:t>
            </w:r>
          </w:p>
        </w:tc>
        <w:tc>
          <w:tcPr>
            <w:tcW w:w="1091" w:type="dxa"/>
          </w:tcPr>
          <w:p w:rsidR="00350399" w:rsidRPr="00164F1B" w:rsidRDefault="00350399" w:rsidP="00DD332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350399" w:rsidRPr="00164F1B" w:rsidRDefault="00350399" w:rsidP="00DD332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sr-Latn-CS"/>
              </w:rPr>
              <w:t>ДОБАВЉАЧ</w:t>
            </w:r>
          </w:p>
        </w:tc>
      </w:tr>
      <w:tr w:rsidR="00767695" w:rsidRPr="00164F1B" w:rsidTr="00DD332A">
        <w:trPr>
          <w:trHeight w:val="778"/>
          <w:jc w:val="center"/>
        </w:trPr>
        <w:tc>
          <w:tcPr>
            <w:tcW w:w="4390" w:type="dxa"/>
            <w:vAlign w:val="center"/>
          </w:tcPr>
          <w:p w:rsidR="00767695" w:rsidRPr="00F24B4F" w:rsidRDefault="00767695" w:rsidP="00767695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1091" w:type="dxa"/>
          </w:tcPr>
          <w:p w:rsidR="00767695" w:rsidRPr="00164F1B" w:rsidRDefault="00767695" w:rsidP="00767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67695" w:rsidRDefault="00767695" w:rsidP="00767695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r-Latn-CS"/>
              </w:rPr>
            </w:pPr>
            <w:r w:rsidRPr="0094465F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Phoenix Pharma d.o.o.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sr-Latn-CS"/>
              </w:rPr>
              <w:t xml:space="preserve">                            </w:t>
            </w:r>
          </w:p>
          <w:p w:rsidR="00767695" w:rsidRPr="00F24B4F" w:rsidRDefault="00767695" w:rsidP="00767695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>директор</w:t>
            </w:r>
            <w:proofErr w:type="spellEnd"/>
          </w:p>
        </w:tc>
      </w:tr>
      <w:tr w:rsidR="00767695" w:rsidRPr="00164F1B" w:rsidTr="00DD332A">
        <w:trPr>
          <w:trHeight w:val="145"/>
          <w:jc w:val="center"/>
        </w:trPr>
        <w:tc>
          <w:tcPr>
            <w:tcW w:w="4390" w:type="dxa"/>
            <w:vAlign w:val="center"/>
          </w:tcPr>
          <w:p w:rsidR="00767695" w:rsidRDefault="00767695" w:rsidP="00767695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>________________________</w:t>
            </w:r>
          </w:p>
        </w:tc>
        <w:tc>
          <w:tcPr>
            <w:tcW w:w="1091" w:type="dxa"/>
          </w:tcPr>
          <w:p w:rsidR="00767695" w:rsidRPr="00164F1B" w:rsidRDefault="00767695" w:rsidP="00767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  <w:vAlign w:val="bottom"/>
          </w:tcPr>
          <w:p w:rsidR="00767695" w:rsidRPr="00164F1B" w:rsidRDefault="00767695" w:rsidP="00767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sr-Latn-CS"/>
              </w:rPr>
              <w:t>________________________</w:t>
            </w:r>
          </w:p>
        </w:tc>
      </w:tr>
      <w:tr w:rsidR="00767695" w:rsidRPr="00164F1B" w:rsidTr="00DD332A">
        <w:trPr>
          <w:trHeight w:val="145"/>
          <w:jc w:val="center"/>
        </w:trPr>
        <w:tc>
          <w:tcPr>
            <w:tcW w:w="4390" w:type="dxa"/>
            <w:vAlign w:val="center"/>
          </w:tcPr>
          <w:p w:rsidR="00767695" w:rsidRDefault="00767695" w:rsidP="00767695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1091" w:type="dxa"/>
          </w:tcPr>
          <w:p w:rsidR="00767695" w:rsidRPr="00164F1B" w:rsidRDefault="00767695" w:rsidP="00767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  <w:vAlign w:val="bottom"/>
          </w:tcPr>
          <w:p w:rsidR="00767695" w:rsidRPr="00CC7412" w:rsidRDefault="00767695" w:rsidP="00767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sr-Latn-C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     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</w:rPr>
              <w:t>Иван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</w:rPr>
              <w:t>Банковић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  <w:tr w:rsidR="00767695" w:rsidRPr="00164F1B" w:rsidTr="00DD332A">
        <w:trPr>
          <w:trHeight w:val="145"/>
          <w:jc w:val="center"/>
        </w:trPr>
        <w:tc>
          <w:tcPr>
            <w:tcW w:w="4390" w:type="dxa"/>
            <w:vAlign w:val="center"/>
          </w:tcPr>
          <w:p w:rsidR="00767695" w:rsidRDefault="00767695" w:rsidP="00767695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1091" w:type="dxa"/>
          </w:tcPr>
          <w:p w:rsidR="00767695" w:rsidRPr="00164F1B" w:rsidRDefault="00767695" w:rsidP="00767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  <w:vAlign w:val="bottom"/>
          </w:tcPr>
          <w:p w:rsidR="00767695" w:rsidRPr="00164F1B" w:rsidRDefault="00767695" w:rsidP="00767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sr-Latn-CS"/>
              </w:rPr>
              <w:t>________________________</w:t>
            </w:r>
          </w:p>
        </w:tc>
      </w:tr>
      <w:tr w:rsidR="00767695" w:rsidRPr="00164F1B" w:rsidTr="00DD332A">
        <w:trPr>
          <w:trHeight w:val="145"/>
          <w:jc w:val="center"/>
        </w:trPr>
        <w:tc>
          <w:tcPr>
            <w:tcW w:w="4390" w:type="dxa"/>
            <w:vAlign w:val="center"/>
          </w:tcPr>
          <w:p w:rsidR="00767695" w:rsidRDefault="00767695" w:rsidP="00767695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1091" w:type="dxa"/>
          </w:tcPr>
          <w:p w:rsidR="00767695" w:rsidRPr="00164F1B" w:rsidRDefault="00767695" w:rsidP="00767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  <w:vAlign w:val="bottom"/>
          </w:tcPr>
          <w:p w:rsidR="00767695" w:rsidRPr="00CC7412" w:rsidRDefault="00767695" w:rsidP="00767695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sr-Latn-C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                    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</w:rPr>
              <w:t>Драган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</w:rPr>
              <w:t>Јовановић</w:t>
            </w:r>
            <w:proofErr w:type="spellEnd"/>
            <w:r w:rsidRPr="00CC7412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sr-Latn-CS"/>
              </w:rPr>
              <w:t xml:space="preserve"> </w:t>
            </w:r>
          </w:p>
        </w:tc>
      </w:tr>
      <w:bookmarkEnd w:id="1"/>
    </w:tbl>
    <w:p w:rsidR="00350399" w:rsidRPr="00350399" w:rsidRDefault="00350399" w:rsidP="00350399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661A7D"/>
    <w:multiLevelType w:val="multilevel"/>
    <w:tmpl w:val="EB56C5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E7345"/>
    <w:multiLevelType w:val="multilevel"/>
    <w:tmpl w:val="686C623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7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9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0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1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BE37D7E"/>
    <w:multiLevelType w:val="multilevel"/>
    <w:tmpl w:val="4E2EC9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6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3008A"/>
    <w:multiLevelType w:val="multilevel"/>
    <w:tmpl w:val="3A6483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6"/>
  </w:num>
  <w:num w:numId="6">
    <w:abstractNumId w:val="35"/>
  </w:num>
  <w:num w:numId="7">
    <w:abstractNumId w:val="18"/>
  </w:num>
  <w:num w:numId="8">
    <w:abstractNumId w:val="27"/>
  </w:num>
  <w:num w:numId="9">
    <w:abstractNumId w:val="19"/>
  </w:num>
  <w:num w:numId="10">
    <w:abstractNumId w:val="23"/>
  </w:num>
  <w:num w:numId="11">
    <w:abstractNumId w:val="28"/>
  </w:num>
  <w:num w:numId="12">
    <w:abstractNumId w:val="1"/>
  </w:num>
  <w:num w:numId="13">
    <w:abstractNumId w:val="32"/>
  </w:num>
  <w:num w:numId="14">
    <w:abstractNumId w:val="4"/>
  </w:num>
  <w:num w:numId="15">
    <w:abstractNumId w:val="2"/>
  </w:num>
  <w:num w:numId="16">
    <w:abstractNumId w:val="24"/>
  </w:num>
  <w:num w:numId="17">
    <w:abstractNumId w:val="15"/>
  </w:num>
  <w:num w:numId="18">
    <w:abstractNumId w:val="8"/>
  </w:num>
  <w:num w:numId="19">
    <w:abstractNumId w:val="25"/>
  </w:num>
  <w:num w:numId="20">
    <w:abstractNumId w:val="17"/>
  </w:num>
  <w:num w:numId="21">
    <w:abstractNumId w:val="34"/>
  </w:num>
  <w:num w:numId="22">
    <w:abstractNumId w:val="16"/>
  </w:num>
  <w:num w:numId="23">
    <w:abstractNumId w:val="33"/>
  </w:num>
  <w:num w:numId="24">
    <w:abstractNumId w:val="11"/>
  </w:num>
  <w:num w:numId="25">
    <w:abstractNumId w:val="20"/>
  </w:num>
  <w:num w:numId="26">
    <w:abstractNumId w:val="10"/>
  </w:num>
  <w:num w:numId="27">
    <w:abstractNumId w:val="26"/>
  </w:num>
  <w:num w:numId="28">
    <w:abstractNumId w:val="7"/>
  </w:num>
  <w:num w:numId="29">
    <w:abstractNumId w:val="30"/>
  </w:num>
  <w:num w:numId="30">
    <w:abstractNumId w:val="31"/>
  </w:num>
  <w:num w:numId="31">
    <w:abstractNumId w:val="29"/>
  </w:num>
  <w:num w:numId="32">
    <w:abstractNumId w:val="13"/>
  </w:num>
  <w:num w:numId="33">
    <w:abstractNumId w:val="38"/>
  </w:num>
  <w:num w:numId="34">
    <w:abstractNumId w:val="9"/>
  </w:num>
  <w:num w:numId="35">
    <w:abstractNumId w:val="21"/>
  </w:num>
  <w:num w:numId="36">
    <w:abstractNumId w:val="37"/>
  </w:num>
  <w:num w:numId="37">
    <w:abstractNumId w:val="22"/>
  </w:num>
  <w:num w:numId="38">
    <w:abstractNumId w:val="14"/>
  </w:num>
  <w:num w:numId="39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074A2"/>
    <w:rsid w:val="000130B4"/>
    <w:rsid w:val="000156BF"/>
    <w:rsid w:val="0001592E"/>
    <w:rsid w:val="00016169"/>
    <w:rsid w:val="00017418"/>
    <w:rsid w:val="00022AF0"/>
    <w:rsid w:val="00022FE3"/>
    <w:rsid w:val="00024523"/>
    <w:rsid w:val="00024597"/>
    <w:rsid w:val="00025151"/>
    <w:rsid w:val="00034D8B"/>
    <w:rsid w:val="00037DD8"/>
    <w:rsid w:val="0004613C"/>
    <w:rsid w:val="00061BC3"/>
    <w:rsid w:val="00064264"/>
    <w:rsid w:val="00072406"/>
    <w:rsid w:val="00083D6A"/>
    <w:rsid w:val="000914CD"/>
    <w:rsid w:val="000A03CB"/>
    <w:rsid w:val="000A0725"/>
    <w:rsid w:val="000A2F83"/>
    <w:rsid w:val="000A3EC4"/>
    <w:rsid w:val="000A49F2"/>
    <w:rsid w:val="000A628A"/>
    <w:rsid w:val="000B37D2"/>
    <w:rsid w:val="000B5C16"/>
    <w:rsid w:val="000C0B32"/>
    <w:rsid w:val="000C6B5F"/>
    <w:rsid w:val="000C6FEF"/>
    <w:rsid w:val="000D125D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4FDB"/>
    <w:rsid w:val="00117F25"/>
    <w:rsid w:val="00130FD9"/>
    <w:rsid w:val="0013237F"/>
    <w:rsid w:val="00132F21"/>
    <w:rsid w:val="00135F41"/>
    <w:rsid w:val="0014024E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3015C"/>
    <w:rsid w:val="00232877"/>
    <w:rsid w:val="00232DB0"/>
    <w:rsid w:val="00234176"/>
    <w:rsid w:val="00242655"/>
    <w:rsid w:val="00264019"/>
    <w:rsid w:val="00264584"/>
    <w:rsid w:val="0026548B"/>
    <w:rsid w:val="00265E58"/>
    <w:rsid w:val="002704BA"/>
    <w:rsid w:val="00270DAA"/>
    <w:rsid w:val="00271660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0770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0399"/>
    <w:rsid w:val="003514D5"/>
    <w:rsid w:val="00352A8A"/>
    <w:rsid w:val="003566C0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017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C1916"/>
    <w:rsid w:val="005C3102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24D17"/>
    <w:rsid w:val="006273F4"/>
    <w:rsid w:val="00636E3B"/>
    <w:rsid w:val="006428C0"/>
    <w:rsid w:val="0064556D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60754"/>
    <w:rsid w:val="00767225"/>
    <w:rsid w:val="0076769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B6E4D"/>
    <w:rsid w:val="009C61AE"/>
    <w:rsid w:val="009D2237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6B92"/>
    <w:rsid w:val="00AC1C43"/>
    <w:rsid w:val="00AC340B"/>
    <w:rsid w:val="00AC34CA"/>
    <w:rsid w:val="00AD2E26"/>
    <w:rsid w:val="00AD55EB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2A3"/>
    <w:rsid w:val="00B23AB2"/>
    <w:rsid w:val="00B24B7C"/>
    <w:rsid w:val="00B30C2B"/>
    <w:rsid w:val="00B32390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D1086"/>
    <w:rsid w:val="00BF28F1"/>
    <w:rsid w:val="00BF49C3"/>
    <w:rsid w:val="00BF6003"/>
    <w:rsid w:val="00BF7CED"/>
    <w:rsid w:val="00C02D0C"/>
    <w:rsid w:val="00C07CF1"/>
    <w:rsid w:val="00C1216B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079C"/>
    <w:rsid w:val="00CD482E"/>
    <w:rsid w:val="00CE1C48"/>
    <w:rsid w:val="00CE2770"/>
    <w:rsid w:val="00CF04C4"/>
    <w:rsid w:val="00CF43F7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53D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A8025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87819-B11F-4C19-BD01-E5437827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Markovic</cp:lastModifiedBy>
  <cp:revision>3</cp:revision>
  <cp:lastPrinted>2022-05-20T11:38:00Z</cp:lastPrinted>
  <dcterms:created xsi:type="dcterms:W3CDTF">2024-09-13T13:29:00Z</dcterms:created>
  <dcterms:modified xsi:type="dcterms:W3CDTF">2024-09-13T13:29:00Z</dcterms:modified>
</cp:coreProperties>
</file>